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A6001" w:rsidRDefault="00EA6001" w:rsidP="00EA6001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Проект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_____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5A39FB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органов местного самоуправления сельских поселений по осуществлению муниципального внутреннего финансового контроля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на 2024 год</w:t>
      </w:r>
    </w:p>
    <w:p w:rsidR="00584CA1" w:rsidRPr="005A39FB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proofErr w:type="spellStart"/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Баженовское</w:t>
      </w:r>
      <w:proofErr w:type="spellEnd"/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сельское поселение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иных межбюджетных трансфертов из бюджета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сельское поселение бюджету МО </w:t>
      </w:r>
      <w:proofErr w:type="spellStart"/>
      <w:r w:rsidR="00765994" w:rsidRPr="00EA6001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="00765994" w:rsidRPr="00EA6001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proofErr w:type="spellStart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Дума </w:t>
      </w:r>
      <w:proofErr w:type="spellStart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</w:t>
      </w:r>
      <w:proofErr w:type="spellEnd"/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по осуществлению муниципального внутреннего финансового контроля на 2024 год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765994" w:rsidRPr="00EA6001" w:rsidRDefault="00B65921" w:rsidP="007659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Опубликовать (обнародовать) настоящее решение в газете «Вести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Баженовского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сельского поселения» и разместить на официальном сайте Думы муниципального образования </w:t>
      </w:r>
      <w:proofErr w:type="spellStart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Баженовское</w:t>
      </w:r>
      <w:proofErr w:type="spellEnd"/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сельское поселение в сети «Интернет» </w:t>
      </w:r>
      <w:hyperlink r:id="rId6" w:history="1">
        <w:r w:rsidR="00765994" w:rsidRPr="00EA6001">
          <w:rPr>
            <w:rStyle w:val="a4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="00765994" w:rsidRPr="00EA6001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</w:t>
      </w:r>
      <w:proofErr w:type="spellStart"/>
      <w:r w:rsidRPr="00EA6001">
        <w:rPr>
          <w:sz w:val="26"/>
          <w:szCs w:val="26"/>
        </w:rPr>
        <w:t>Баженовского</w:t>
      </w:r>
      <w:proofErr w:type="spellEnd"/>
      <w:r w:rsidRPr="00EA6001">
        <w:rPr>
          <w:sz w:val="26"/>
          <w:szCs w:val="26"/>
        </w:rPr>
        <w:t xml:space="preserve">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proofErr w:type="spellStart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proofErr w:type="spellEnd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______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2023 г.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____</w:t>
      </w:r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5A39FB" w:rsidRPr="005A39FB" w:rsidRDefault="005A39FB" w:rsidP="005A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внутреннего финансового контроля на 2024 год</w:t>
      </w:r>
    </w:p>
    <w:p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A39FB">
        <w:rPr>
          <w:rFonts w:ascii="Times New Roman" w:hAnsi="Times New Roman" w:cs="Times New Roman"/>
          <w:sz w:val="26"/>
          <w:szCs w:val="26"/>
        </w:rPr>
        <w:t xml:space="preserve">.Настоящий Порядок определяет условия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по осуществлению муниципального внутреннего финансового контроля на 2024 год</w:t>
      </w:r>
      <w:r w:rsidR="004F2F84" w:rsidRPr="005A39FB">
        <w:rPr>
          <w:rFonts w:ascii="Times New Roman" w:hAnsi="Times New Roman" w:cs="Times New Roman"/>
          <w:sz w:val="26"/>
          <w:szCs w:val="26"/>
        </w:rPr>
        <w:t xml:space="preserve"> </w:t>
      </w:r>
      <w:r w:rsidRPr="005A39FB">
        <w:rPr>
          <w:rFonts w:ascii="Times New Roman" w:hAnsi="Times New Roman" w:cs="Times New Roman"/>
          <w:sz w:val="26"/>
          <w:szCs w:val="26"/>
        </w:rPr>
        <w:t>(далее – иные МБТ).</w:t>
      </w:r>
    </w:p>
    <w:p w:rsidR="000A30C6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A39FB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</w:t>
      </w:r>
      <w:proofErr w:type="spellStart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внутреннего финансового контроля на 2024 год</w:t>
      </w:r>
      <w:r w:rsidRPr="005A39FB">
        <w:rPr>
          <w:rFonts w:ascii="Times New Roman" w:hAnsi="Times New Roman" w:cs="Times New Roman"/>
          <w:sz w:val="26"/>
          <w:szCs w:val="26"/>
        </w:rPr>
        <w:t xml:space="preserve">, разработан в соответствии с Бюджетным кодексом РФ, </w:t>
      </w:r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Решением Думы муниципального образования </w:t>
      </w:r>
      <w:proofErr w:type="spellStart"/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>Баженовское</w:t>
      </w:r>
      <w:proofErr w:type="spellEnd"/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сельское поселение  от 30.09.2020  года № 150 </w:t>
      </w:r>
      <w:r w:rsidRPr="005A39FB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</w:t>
      </w:r>
      <w:proofErr w:type="gramEnd"/>
      <w:r w:rsidRPr="005A39FB">
        <w:rPr>
          <w:rFonts w:ascii="Times New Roman" w:hAnsi="Times New Roman" w:cs="Times New Roman"/>
          <w:sz w:val="26"/>
          <w:szCs w:val="26"/>
        </w:rPr>
        <w:t xml:space="preserve"> бюджета МО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бюджету МО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Байкаловский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муниципальный район», </w:t>
      </w:r>
      <w:r w:rsidR="005A39FB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5A39FB">
        <w:rPr>
          <w:rFonts w:ascii="Times New Roman" w:hAnsi="Times New Roman" w:cs="Times New Roman"/>
          <w:sz w:val="26"/>
          <w:szCs w:val="26"/>
        </w:rPr>
        <w:t xml:space="preserve">22 Устава </w:t>
      </w:r>
      <w:proofErr w:type="spellStart"/>
      <w:r w:rsidR="00EA6001" w:rsidRPr="005A39FB">
        <w:rPr>
          <w:rFonts w:ascii="Times New Roman" w:hAnsi="Times New Roman" w:cs="Times New Roman"/>
          <w:sz w:val="26"/>
          <w:szCs w:val="26"/>
        </w:rPr>
        <w:t>Баженовского</w:t>
      </w:r>
      <w:proofErr w:type="spellEnd"/>
      <w:r w:rsidR="00EA6001" w:rsidRPr="005A39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A39FB">
        <w:rPr>
          <w:rFonts w:ascii="Times New Roman" w:hAnsi="Times New Roman" w:cs="Times New Roman"/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B72E96">
        <w:rPr>
          <w:sz w:val="26"/>
          <w:szCs w:val="26"/>
        </w:rPr>
        <w:t xml:space="preserve">муниципального образования </w:t>
      </w:r>
      <w:proofErr w:type="spellStart"/>
      <w:r w:rsidR="00B72E96">
        <w:rPr>
          <w:sz w:val="26"/>
          <w:szCs w:val="26"/>
        </w:rPr>
        <w:t>Баженовское</w:t>
      </w:r>
      <w:proofErr w:type="spellEnd"/>
      <w:r w:rsidR="00B72E96">
        <w:rPr>
          <w:sz w:val="26"/>
          <w:szCs w:val="26"/>
        </w:rPr>
        <w:t xml:space="preserve">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4. 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0106</w:t>
      </w:r>
      <w:r w:rsidRPr="00EA6001">
        <w:rPr>
          <w:sz w:val="26"/>
          <w:szCs w:val="26"/>
        </w:rPr>
        <w:t xml:space="preserve"> «</w:t>
      </w:r>
      <w:r w:rsidR="00C41BD1" w:rsidRPr="00EA6001">
        <w:rPr>
          <w:sz w:val="26"/>
          <w:szCs w:val="26"/>
        </w:rPr>
        <w:t>Обеспечение деятельности финансовых, налоговых и таможенных органов финансового (</w:t>
      </w:r>
      <w:r w:rsidR="00B65921">
        <w:rPr>
          <w:sz w:val="26"/>
          <w:szCs w:val="26"/>
        </w:rPr>
        <w:t>финансово-</w:t>
      </w:r>
      <w:r w:rsidR="00C41BD1" w:rsidRPr="00EA6001">
        <w:rPr>
          <w:sz w:val="26"/>
          <w:szCs w:val="26"/>
        </w:rPr>
        <w:t>бюджетного) надзора</w:t>
      </w:r>
      <w:r w:rsidRPr="00EA6001">
        <w:rPr>
          <w:sz w:val="26"/>
          <w:szCs w:val="26"/>
        </w:rPr>
        <w:t xml:space="preserve">», целевой статье </w:t>
      </w:r>
      <w:r w:rsidR="005A39FB">
        <w:rPr>
          <w:sz w:val="26"/>
          <w:szCs w:val="26"/>
        </w:rPr>
        <w:t>50000П1020</w:t>
      </w:r>
      <w:r w:rsidR="00C41BD1" w:rsidRPr="00EA6001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 xml:space="preserve">Передача полномочий исполнительных органов местного самоуправления сельских поселений по </w:t>
      </w:r>
      <w:r w:rsidR="005A39FB">
        <w:rPr>
          <w:sz w:val="26"/>
          <w:szCs w:val="26"/>
        </w:rPr>
        <w:t>осуществлению муниципального внутреннего финансового контроля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на 2024 год составляет </w:t>
      </w:r>
      <w:r w:rsidR="005A39FB">
        <w:rPr>
          <w:sz w:val="26"/>
          <w:szCs w:val="26"/>
        </w:rPr>
        <w:t>308</w:t>
      </w:r>
      <w:r w:rsidR="00852541">
        <w:rPr>
          <w:sz w:val="26"/>
          <w:szCs w:val="26"/>
        </w:rPr>
        <w:t>,60 тыс. руб.</w:t>
      </w:r>
      <w:r w:rsidR="004F2F84">
        <w:rPr>
          <w:sz w:val="26"/>
          <w:szCs w:val="26"/>
        </w:rPr>
        <w:t xml:space="preserve"> 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5. Перечисление иных МБТ осуществляется с единого счета бюджета муниципального образования </w:t>
      </w:r>
      <w:proofErr w:type="spellStart"/>
      <w:r w:rsidRPr="00EA6001">
        <w:rPr>
          <w:sz w:val="26"/>
          <w:szCs w:val="26"/>
        </w:rPr>
        <w:t>Баженовское</w:t>
      </w:r>
      <w:proofErr w:type="spellEnd"/>
      <w:r w:rsidRPr="00EA6001">
        <w:rPr>
          <w:sz w:val="26"/>
          <w:szCs w:val="26"/>
        </w:rPr>
        <w:t xml:space="preserve"> сельское поселение </w:t>
      </w:r>
      <w:proofErr w:type="spellStart"/>
      <w:r w:rsidRPr="00EA6001">
        <w:rPr>
          <w:sz w:val="26"/>
          <w:szCs w:val="26"/>
        </w:rPr>
        <w:t>Байкаловского</w:t>
      </w:r>
      <w:proofErr w:type="spellEnd"/>
      <w:r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бюджета </w:t>
      </w:r>
      <w:proofErr w:type="spellStart"/>
      <w:r w:rsidR="000A30C6" w:rsidRPr="00EA6001">
        <w:rPr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EA6001">
        <w:rPr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A39FB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 бюджета 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A30C6"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5A39FB">
        <w:rPr>
          <w:rFonts w:ascii="Times New Roman" w:hAnsi="Times New Roman" w:cs="Times New Roman"/>
          <w:sz w:val="26"/>
          <w:szCs w:val="26"/>
        </w:rPr>
        <w:t xml:space="preserve">, предусмотренных на предоставление иных МБТ </w:t>
      </w:r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 xml:space="preserve">бюджету </w:t>
      </w:r>
      <w:proofErr w:type="spellStart"/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>Байкаловского</w:t>
      </w:r>
      <w:proofErr w:type="spellEnd"/>
      <w:r w:rsidR="000A30C6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 xml:space="preserve"> муниципального района Свердловской области на осуществление</w:t>
      </w:r>
      <w:r w:rsidR="000A30C6" w:rsidRPr="00EA6001">
        <w:rPr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lastRenderedPageBreak/>
        <w:t>полномочий органов местного самоуправления сельских поселений по осуществлению муниципального внутреннего финансового контроля на 2024 год</w:t>
      </w:r>
      <w:r w:rsidR="00EA6001" w:rsidRPr="005A39FB">
        <w:rPr>
          <w:rFonts w:ascii="Times New Roman" w:hAnsi="Times New Roman" w:cs="Times New Roman"/>
          <w:bCs/>
          <w:color w:val="1C1C1C"/>
          <w:sz w:val="26"/>
          <w:szCs w:val="26"/>
          <w:lang w:eastAsia="ru-RU"/>
        </w:rPr>
        <w:t xml:space="preserve">, </w:t>
      </w:r>
      <w:r w:rsidRPr="005A39FB">
        <w:rPr>
          <w:rFonts w:ascii="Times New Roman" w:hAnsi="Times New Roman" w:cs="Times New Roman"/>
          <w:sz w:val="26"/>
          <w:szCs w:val="26"/>
        </w:rPr>
        <w:t>является Администрация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0A30C6" w:rsidRPr="005A39FB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A39FB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5A39F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A30C6" w:rsidRPr="005A39FB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Pr="005A39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8575A" w:rsidRPr="00EA6001" w:rsidRDefault="00B65921" w:rsidP="005A39FB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8575A" w:rsidRPr="00EA6001">
        <w:rPr>
          <w:sz w:val="26"/>
          <w:szCs w:val="26"/>
        </w:rPr>
        <w:t xml:space="preserve">Администрация </w:t>
      </w:r>
      <w:r w:rsidR="000A30C6" w:rsidRPr="00EA6001">
        <w:rPr>
          <w:sz w:val="26"/>
          <w:szCs w:val="26"/>
        </w:rPr>
        <w:t xml:space="preserve"> 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E8575A" w:rsidRPr="00EA6001">
        <w:rPr>
          <w:sz w:val="26"/>
          <w:szCs w:val="26"/>
        </w:rPr>
        <w:t>Байкаловского</w:t>
      </w:r>
      <w:proofErr w:type="spellEnd"/>
      <w:r w:rsidR="00E8575A" w:rsidRPr="00EA6001">
        <w:rPr>
          <w:sz w:val="26"/>
          <w:szCs w:val="26"/>
        </w:rPr>
        <w:t xml:space="preserve"> муниципального района</w:t>
      </w:r>
      <w:r w:rsidR="000A30C6" w:rsidRPr="00EA6001">
        <w:rPr>
          <w:sz w:val="26"/>
          <w:szCs w:val="26"/>
        </w:rPr>
        <w:t xml:space="preserve"> Свердловской</w:t>
      </w:r>
      <w:bookmarkStart w:id="0" w:name="_GoBack"/>
      <w:bookmarkEnd w:id="0"/>
      <w:r w:rsidR="000A30C6" w:rsidRPr="00EA6001">
        <w:rPr>
          <w:sz w:val="26"/>
          <w:szCs w:val="26"/>
        </w:rPr>
        <w:t xml:space="preserve"> области</w:t>
      </w:r>
      <w:r w:rsidR="00E8575A" w:rsidRPr="00EA6001">
        <w:rPr>
          <w:sz w:val="26"/>
          <w:szCs w:val="26"/>
        </w:rPr>
        <w:t xml:space="preserve"> заключает с Администрацией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="00E8575A" w:rsidRPr="00EA6001">
        <w:rPr>
          <w:sz w:val="26"/>
          <w:szCs w:val="26"/>
        </w:rPr>
        <w:t xml:space="preserve">,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EA6001">
        <w:rPr>
          <w:sz w:val="26"/>
          <w:szCs w:val="26"/>
        </w:rPr>
        <w:t>контроля за</w:t>
      </w:r>
      <w:proofErr w:type="gramEnd"/>
      <w:r w:rsidR="00E8575A" w:rsidRPr="00EA6001">
        <w:rPr>
          <w:sz w:val="26"/>
          <w:szCs w:val="26"/>
        </w:rPr>
        <w:t xml:space="preserve"> их целевым использованием.</w:t>
      </w:r>
    </w:p>
    <w:p w:rsidR="00E15B16" w:rsidRPr="00EA6001" w:rsidRDefault="00E8575A" w:rsidP="00E15B1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Не использованные по состоянию на 1 января текущего финансового года остатки иных МБТ, предоставленных в отчетном финансовом году, подлежат возврату в бюджет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A30C6" w:rsidRPr="00EA6001">
        <w:rPr>
          <w:sz w:val="26"/>
          <w:szCs w:val="26"/>
        </w:rPr>
        <w:t xml:space="preserve">муниципального образования </w:t>
      </w:r>
      <w:proofErr w:type="spellStart"/>
      <w:r w:rsidR="000A30C6" w:rsidRPr="00EA6001">
        <w:rPr>
          <w:sz w:val="26"/>
          <w:szCs w:val="26"/>
        </w:rPr>
        <w:t>Баженовское</w:t>
      </w:r>
      <w:proofErr w:type="spellEnd"/>
      <w:r w:rsidR="000A30C6" w:rsidRPr="00EA6001">
        <w:rPr>
          <w:sz w:val="26"/>
          <w:szCs w:val="26"/>
        </w:rPr>
        <w:t xml:space="preserve"> сельское поселение </w:t>
      </w:r>
      <w:proofErr w:type="spellStart"/>
      <w:r w:rsidR="000A30C6" w:rsidRPr="00EA6001">
        <w:rPr>
          <w:sz w:val="26"/>
          <w:szCs w:val="26"/>
        </w:rPr>
        <w:t>Байкаловского</w:t>
      </w:r>
      <w:proofErr w:type="spellEnd"/>
      <w:r w:rsidR="000A30C6" w:rsidRPr="00EA6001">
        <w:rPr>
          <w:sz w:val="26"/>
          <w:szCs w:val="26"/>
        </w:rPr>
        <w:t xml:space="preserve">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E15B16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E15B16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10. Отчеты об использовании иных МБТ представляются в Администрацию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 в сроки и по формам, установленным в соглашении о предоставлении иных МБТ.</w:t>
      </w:r>
    </w:p>
    <w:p w:rsidR="00E15B16" w:rsidRPr="000660E2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Администрацией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Баженовское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области, а также путем проведения проверок органами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660E2">
        <w:rPr>
          <w:rFonts w:ascii="Times New Roman" w:eastAsia="Arial Unicode MS" w:hAnsi="Times New Roman" w:cs="Times New Roman"/>
          <w:sz w:val="26"/>
          <w:szCs w:val="26"/>
        </w:rPr>
        <w:t xml:space="preserve">контроля </w:t>
      </w:r>
      <w:proofErr w:type="spellStart"/>
      <w:r w:rsidRPr="000660E2">
        <w:rPr>
          <w:rFonts w:ascii="Times New Roman" w:eastAsia="Arial Unicode MS" w:hAnsi="Times New Roman" w:cs="Times New Roman"/>
          <w:sz w:val="26"/>
          <w:szCs w:val="26"/>
        </w:rPr>
        <w:t>Байкаловского</w:t>
      </w:r>
      <w:proofErr w:type="spellEnd"/>
      <w:r w:rsidRPr="000660E2">
        <w:rPr>
          <w:rFonts w:ascii="Times New Roman" w:eastAsia="Arial Unicode MS" w:hAnsi="Times New Roman" w:cs="Times New Roman"/>
          <w:sz w:val="26"/>
          <w:szCs w:val="26"/>
        </w:rPr>
        <w:t xml:space="preserve"> муниципального района Свердловской области.</w:t>
      </w:r>
    </w:p>
    <w:p w:rsidR="00E15B16" w:rsidRPr="000660E2" w:rsidRDefault="00E15B16" w:rsidP="00E15B16">
      <w:pPr>
        <w:pStyle w:val="a3"/>
        <w:ind w:firstLine="567"/>
        <w:jc w:val="both"/>
        <w:rPr>
          <w:sz w:val="26"/>
          <w:szCs w:val="26"/>
        </w:rPr>
      </w:pPr>
    </w:p>
    <w:p w:rsidR="00E15B16" w:rsidRPr="000660E2" w:rsidRDefault="00E15B16" w:rsidP="00E15B16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246D8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660E2"/>
    <w:rsid w:val="000A30C6"/>
    <w:rsid w:val="00101B28"/>
    <w:rsid w:val="00246D85"/>
    <w:rsid w:val="00290A85"/>
    <w:rsid w:val="0035773E"/>
    <w:rsid w:val="0037646C"/>
    <w:rsid w:val="003973C5"/>
    <w:rsid w:val="004F2F84"/>
    <w:rsid w:val="00584CA1"/>
    <w:rsid w:val="005A39FB"/>
    <w:rsid w:val="005D736A"/>
    <w:rsid w:val="00765994"/>
    <w:rsid w:val="00852541"/>
    <w:rsid w:val="00B65921"/>
    <w:rsid w:val="00B72E96"/>
    <w:rsid w:val="00C41BD1"/>
    <w:rsid w:val="00E15B16"/>
    <w:rsid w:val="00E8575A"/>
    <w:rsid w:val="00E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2023-12-04T03:35:00Z</cp:lastPrinted>
  <dcterms:created xsi:type="dcterms:W3CDTF">2023-11-24T06:10:00Z</dcterms:created>
  <dcterms:modified xsi:type="dcterms:W3CDTF">2023-12-04T03:35:00Z</dcterms:modified>
</cp:coreProperties>
</file>